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EF61" w14:textId="77777777" w:rsidR="00EB0DD9" w:rsidRPr="00B2332E" w:rsidRDefault="00EB0DD9" w:rsidP="00EB0DD9">
      <w:pPr>
        <w:pStyle w:val="Default"/>
        <w:rPr>
          <w:rFonts w:asciiTheme="majorHAnsi" w:hAnsiTheme="majorHAnsi" w:cstheme="majorHAnsi"/>
          <w:sz w:val="20"/>
          <w:szCs w:val="20"/>
        </w:rPr>
      </w:pPr>
      <w:permStart w:id="1857109465" w:edGrp="everyone"/>
      <w:permEnd w:id="1857109465"/>
    </w:p>
    <w:p w14:paraId="5BE44104" w14:textId="50E5E8C5" w:rsidR="00EB0DD9" w:rsidRPr="00DD2E7C" w:rsidRDefault="00EB0DD9" w:rsidP="00EB0DD9">
      <w:pPr>
        <w:pStyle w:val="Kop2"/>
        <w:rPr>
          <w:rFonts w:cstheme="majorHAnsi"/>
          <w:sz w:val="24"/>
          <w:szCs w:val="24"/>
        </w:rPr>
      </w:pPr>
      <w:r w:rsidRPr="00DD2E7C">
        <w:rPr>
          <w:rFonts w:cstheme="majorHAnsi"/>
          <w:sz w:val="24"/>
          <w:szCs w:val="24"/>
        </w:rPr>
        <w:t>Toelichting UVR energiebesparingsprogramma woningen Noord-Holland 2023</w:t>
      </w:r>
    </w:p>
    <w:p w14:paraId="439A0390" w14:textId="77777777" w:rsidR="00EB0DD9" w:rsidRPr="00B2332E" w:rsidRDefault="00EB0DD9" w:rsidP="00EB0DD9">
      <w:pPr>
        <w:pStyle w:val="Default"/>
        <w:rPr>
          <w:rFonts w:asciiTheme="majorHAnsi" w:hAnsiTheme="majorHAnsi" w:cstheme="majorHAnsi"/>
          <w:sz w:val="20"/>
          <w:szCs w:val="20"/>
        </w:rPr>
      </w:pPr>
    </w:p>
    <w:p w14:paraId="5E9F1C0E" w14:textId="4FAD95E0" w:rsidR="00EB0DD9" w:rsidRPr="00B2332E" w:rsidRDefault="00EB0DD9" w:rsidP="00EB0DD9">
      <w:pPr>
        <w:pStyle w:val="Default"/>
        <w:rPr>
          <w:rFonts w:asciiTheme="majorHAnsi" w:hAnsiTheme="majorHAnsi" w:cstheme="majorHAnsi"/>
          <w:sz w:val="20"/>
          <w:szCs w:val="20"/>
        </w:rPr>
      </w:pPr>
      <w:r w:rsidRPr="00B2332E">
        <w:rPr>
          <w:rFonts w:asciiTheme="majorHAnsi" w:hAnsiTheme="majorHAnsi" w:cstheme="majorHAnsi"/>
          <w:b/>
          <w:bCs/>
          <w:sz w:val="20"/>
          <w:szCs w:val="20"/>
        </w:rPr>
        <w:t>Achtergrond</w:t>
      </w:r>
    </w:p>
    <w:p w14:paraId="1677FC7A" w14:textId="218A2829" w:rsidR="00E75FE2" w:rsidRPr="00B2332E" w:rsidRDefault="000231E7" w:rsidP="000231E7">
      <w:pPr>
        <w:rPr>
          <w:rFonts w:asciiTheme="majorHAnsi" w:eastAsia="Calibri" w:hAnsiTheme="majorHAnsi" w:cstheme="majorHAnsi"/>
          <w:sz w:val="20"/>
          <w:szCs w:val="20"/>
        </w:rPr>
      </w:pPr>
      <w:r w:rsidRPr="00B2332E">
        <w:rPr>
          <w:rFonts w:asciiTheme="majorHAnsi" w:eastAsia="Calibri" w:hAnsiTheme="majorHAnsi" w:cstheme="majorHAnsi"/>
          <w:sz w:val="20"/>
          <w:szCs w:val="20"/>
        </w:rPr>
        <w:t xml:space="preserve">De uitvoeringsregeling is onderdeel van het provinciale programma Energietransitie. In het Actieprogramma Klimaat 2020-2023 van de provincie is de ‘gebouwde omgeving’ een van de thema’s. In 2050 wil Noord-Holland klimaatneutraal zijn. De provincie sluit hiermee aan bij het Klimaatakkoord waarmee Nederland invulling geeft aan de afspraken in het Klimaatverdrag van Parijs. Daarvoor is het nodig dat de concentratie broeikasgassen in de atmosfeer afneemt. Om bij te dragen aan de boven genoemde doelstellingen zijn voor verduurzaming in de gebouwde omgeving specifieke doelstellingen opgesteld. Landelijk zijn afspraken gemaakt over de verduurzaming van woningen en utiliteitsgebouwen: in 2030 moet een CO2-reductie zijn bereikt van 3,4 </w:t>
      </w:r>
      <w:proofErr w:type="spellStart"/>
      <w:r w:rsidRPr="00B2332E">
        <w:rPr>
          <w:rFonts w:asciiTheme="majorHAnsi" w:eastAsia="Calibri" w:hAnsiTheme="majorHAnsi" w:cstheme="majorHAnsi"/>
          <w:sz w:val="20"/>
          <w:szCs w:val="20"/>
        </w:rPr>
        <w:t>Mton</w:t>
      </w:r>
      <w:proofErr w:type="spellEnd"/>
      <w:r w:rsidRPr="00B2332E">
        <w:rPr>
          <w:rFonts w:asciiTheme="majorHAnsi" w:eastAsia="Calibri" w:hAnsiTheme="majorHAnsi" w:cstheme="majorHAnsi"/>
          <w:sz w:val="20"/>
          <w:szCs w:val="20"/>
        </w:rPr>
        <w:t xml:space="preserve">. De provincie Noord-Holland telt ongeveer 1,3 miljoen woningen. Uitgaande van een evenredige bijdrage, betekent dit dat in onze provincie in 2030 ruim 260.000 woningen verduurzaamd moeten zijn. </w:t>
      </w:r>
    </w:p>
    <w:p w14:paraId="091AE1D4" w14:textId="466D397E" w:rsidR="00E75FE2" w:rsidRPr="00B2332E" w:rsidRDefault="00E75FE2" w:rsidP="00E75FE2">
      <w:pPr>
        <w:rPr>
          <w:rFonts w:asciiTheme="majorHAnsi" w:hAnsiTheme="majorHAnsi" w:cstheme="majorHAnsi"/>
          <w:sz w:val="20"/>
          <w:szCs w:val="20"/>
        </w:rPr>
      </w:pPr>
      <w:r w:rsidRPr="00B2332E">
        <w:rPr>
          <w:rFonts w:asciiTheme="majorHAnsi" w:hAnsiTheme="majorHAnsi" w:cstheme="majorHAnsi"/>
          <w:sz w:val="20"/>
          <w:szCs w:val="20"/>
        </w:rPr>
        <w:t xml:space="preserve">De verduurzaming van de gebouwde omgeving heeft de afgelopen </w:t>
      </w:r>
      <w:r w:rsidR="00844EA0">
        <w:rPr>
          <w:rFonts w:asciiTheme="majorHAnsi" w:hAnsiTheme="majorHAnsi" w:cstheme="majorHAnsi"/>
          <w:sz w:val="20"/>
          <w:szCs w:val="20"/>
        </w:rPr>
        <w:t>periode</w:t>
      </w:r>
      <w:r w:rsidRPr="00B2332E">
        <w:rPr>
          <w:rFonts w:asciiTheme="majorHAnsi" w:hAnsiTheme="majorHAnsi" w:cstheme="majorHAnsi"/>
          <w:sz w:val="20"/>
          <w:szCs w:val="20"/>
        </w:rPr>
        <w:t xml:space="preserve"> aan urgentie gewonnen door de hoge energieprijzen en geopolitieke ontwikkelingen. Het verduurzamen van woningen van inwoners in de provincie draagt direct bij aan een lagere energierekening en is belangrijke maatregel om energiearmoede te voorkomen. </w:t>
      </w:r>
    </w:p>
    <w:p w14:paraId="7A03BB22" w14:textId="7AE21D6B" w:rsidR="00E75FE2" w:rsidRPr="00B2332E" w:rsidRDefault="00E75FE2" w:rsidP="00E75FE2">
      <w:pPr>
        <w:rPr>
          <w:rFonts w:asciiTheme="majorHAnsi" w:hAnsiTheme="majorHAnsi" w:cstheme="majorHAnsi"/>
          <w:i/>
          <w:iCs/>
          <w:sz w:val="20"/>
          <w:szCs w:val="20"/>
        </w:rPr>
      </w:pPr>
      <w:r w:rsidRPr="00B2332E">
        <w:rPr>
          <w:rFonts w:asciiTheme="majorHAnsi" w:hAnsiTheme="majorHAnsi" w:cstheme="majorHAnsi"/>
          <w:b/>
          <w:bCs/>
          <w:sz w:val="20"/>
          <w:szCs w:val="20"/>
        </w:rPr>
        <w:t xml:space="preserve">Doel van de uitvoeringsregeling </w:t>
      </w:r>
      <w:r w:rsidR="000231E7" w:rsidRPr="00B2332E">
        <w:rPr>
          <w:rFonts w:asciiTheme="majorHAnsi" w:hAnsiTheme="majorHAnsi" w:cstheme="majorHAnsi"/>
          <w:b/>
          <w:bCs/>
          <w:sz w:val="20"/>
          <w:szCs w:val="20"/>
        </w:rPr>
        <w:br/>
      </w:r>
      <w:r w:rsidRPr="00B2332E">
        <w:rPr>
          <w:rFonts w:asciiTheme="majorHAnsi" w:hAnsiTheme="majorHAnsi" w:cstheme="majorHAnsi"/>
          <w:sz w:val="20"/>
          <w:szCs w:val="20"/>
        </w:rPr>
        <w:t>Met de ‘</w:t>
      </w:r>
      <w:r w:rsidRPr="00B2332E">
        <w:rPr>
          <w:rFonts w:asciiTheme="majorHAnsi" w:hAnsiTheme="majorHAnsi" w:cstheme="majorHAnsi"/>
          <w:iCs/>
          <w:sz w:val="20"/>
          <w:szCs w:val="20"/>
        </w:rPr>
        <w:t>Uitvoeringsregeling subsidie energiebesparingsprogramma woningen Noord-Holland 2023</w:t>
      </w:r>
      <w:r w:rsidR="009A40E3">
        <w:rPr>
          <w:rFonts w:asciiTheme="majorHAnsi" w:hAnsiTheme="majorHAnsi" w:cstheme="majorHAnsi"/>
          <w:iCs/>
          <w:sz w:val="20"/>
          <w:szCs w:val="20"/>
        </w:rPr>
        <w:t xml:space="preserve"> </w:t>
      </w:r>
      <w:r w:rsidRPr="00B2332E">
        <w:rPr>
          <w:rFonts w:asciiTheme="majorHAnsi" w:hAnsiTheme="majorHAnsi" w:cstheme="majorHAnsi"/>
          <w:sz w:val="20"/>
          <w:szCs w:val="20"/>
        </w:rPr>
        <w:t>ondersteunt de provincie gemeenten bij het opzetten en uitvoeren van programma’s waarmee particuliere woningeigenaren en verhuurders t/m 10 verhuurwoningen worden gestimuleerd om te investeren in het verduurzamen van hun woning. De gemeenten worden door deze uitvoeringsregeling gest</w:t>
      </w:r>
      <w:r w:rsidR="00844EA0">
        <w:rPr>
          <w:rFonts w:asciiTheme="majorHAnsi" w:hAnsiTheme="majorHAnsi" w:cstheme="majorHAnsi"/>
          <w:sz w:val="20"/>
          <w:szCs w:val="20"/>
        </w:rPr>
        <w:t>eund</w:t>
      </w:r>
      <w:r w:rsidRPr="00B2332E">
        <w:rPr>
          <w:rFonts w:asciiTheme="majorHAnsi" w:hAnsiTheme="majorHAnsi" w:cstheme="majorHAnsi"/>
          <w:sz w:val="20"/>
          <w:szCs w:val="20"/>
        </w:rPr>
        <w:t xml:space="preserve"> door een cofinanciering van 50% voor de inzet voor procesgelden met als uiteindelijke doelstelling het verduurzamen van 50.000 woningen binnen de provincie.</w:t>
      </w:r>
    </w:p>
    <w:p w14:paraId="1A019D76" w14:textId="4B02862B" w:rsidR="00E75FE2" w:rsidRPr="00B2332E" w:rsidRDefault="00E75FE2" w:rsidP="00EB0DD9">
      <w:pPr>
        <w:pStyle w:val="Default"/>
        <w:rPr>
          <w:rFonts w:asciiTheme="majorHAnsi" w:hAnsiTheme="majorHAnsi" w:cstheme="majorHAnsi"/>
          <w:b/>
          <w:bCs/>
          <w:sz w:val="20"/>
          <w:szCs w:val="20"/>
        </w:rPr>
      </w:pPr>
    </w:p>
    <w:p w14:paraId="05FA7291" w14:textId="156B67A6" w:rsidR="00E75FE2" w:rsidRPr="00B2332E" w:rsidRDefault="000231E7" w:rsidP="00EB0DD9">
      <w:pPr>
        <w:pStyle w:val="Default"/>
        <w:rPr>
          <w:rFonts w:asciiTheme="majorHAnsi" w:hAnsiTheme="majorHAnsi" w:cstheme="majorHAnsi"/>
          <w:sz w:val="20"/>
          <w:szCs w:val="20"/>
        </w:rPr>
      </w:pPr>
      <w:r w:rsidRPr="00B2332E">
        <w:rPr>
          <w:rFonts w:asciiTheme="majorHAnsi" w:hAnsiTheme="majorHAnsi" w:cstheme="majorHAnsi"/>
          <w:b/>
          <w:bCs/>
          <w:sz w:val="20"/>
          <w:szCs w:val="20"/>
        </w:rPr>
        <w:t>Definities en uitvoering</w:t>
      </w:r>
      <w:r w:rsidRPr="00B2332E">
        <w:rPr>
          <w:rFonts w:asciiTheme="majorHAnsi" w:hAnsiTheme="majorHAnsi" w:cstheme="majorHAnsi"/>
          <w:sz w:val="20"/>
          <w:szCs w:val="20"/>
        </w:rPr>
        <w:t xml:space="preserve"> </w:t>
      </w:r>
    </w:p>
    <w:p w14:paraId="55DF39DA" w14:textId="0076F63C" w:rsidR="00EB0DD9" w:rsidRPr="00B2332E" w:rsidRDefault="00EB0DD9" w:rsidP="000231E7">
      <w:pPr>
        <w:pStyle w:val="Default"/>
        <w:numPr>
          <w:ilvl w:val="0"/>
          <w:numId w:val="1"/>
        </w:numPr>
        <w:rPr>
          <w:rFonts w:asciiTheme="majorHAnsi" w:hAnsiTheme="majorHAnsi" w:cstheme="majorHAnsi"/>
          <w:i/>
          <w:iCs/>
          <w:sz w:val="20"/>
          <w:szCs w:val="20"/>
        </w:rPr>
      </w:pPr>
      <w:r w:rsidRPr="00B2332E">
        <w:rPr>
          <w:rFonts w:asciiTheme="majorHAnsi" w:hAnsiTheme="majorHAnsi" w:cstheme="majorHAnsi"/>
          <w:i/>
          <w:iCs/>
          <w:sz w:val="20"/>
          <w:szCs w:val="20"/>
        </w:rPr>
        <w:t xml:space="preserve">Regionaal energieloket </w:t>
      </w:r>
    </w:p>
    <w:p w14:paraId="6FBB37EF" w14:textId="166BB30C" w:rsidR="00EB0DD9" w:rsidRDefault="00EB0DD9" w:rsidP="000231E7">
      <w:pPr>
        <w:pStyle w:val="Default"/>
        <w:ind w:left="360"/>
        <w:rPr>
          <w:rFonts w:asciiTheme="majorHAnsi" w:hAnsiTheme="majorHAnsi" w:cstheme="majorHAnsi"/>
          <w:sz w:val="20"/>
          <w:szCs w:val="20"/>
        </w:rPr>
      </w:pPr>
      <w:r w:rsidRPr="00B2332E">
        <w:rPr>
          <w:rFonts w:asciiTheme="majorHAnsi" w:hAnsiTheme="majorHAnsi" w:cstheme="majorHAnsi"/>
          <w:sz w:val="20"/>
          <w:szCs w:val="20"/>
        </w:rPr>
        <w:t xml:space="preserve">De regionale energieloketten hebben in het kader van deze regeling een adviserende/begeleidende rol van particuliere woningeigenaren die belangstelling hebben voor verduurzamingsmaatregelen. </w:t>
      </w:r>
      <w:r w:rsidR="000231E7" w:rsidRPr="00B2332E">
        <w:rPr>
          <w:rFonts w:asciiTheme="majorHAnsi" w:hAnsiTheme="majorHAnsi" w:cstheme="majorHAnsi"/>
          <w:sz w:val="20"/>
          <w:szCs w:val="20"/>
        </w:rPr>
        <w:t xml:space="preserve">De gemeente is vrij om zelf een energieloket te selecteren, mits dat voldoet aan de normen conform de </w:t>
      </w:r>
      <w:hyperlink r:id="rId5" w:history="1">
        <w:r w:rsidR="000231E7" w:rsidRPr="00B2332E">
          <w:rPr>
            <w:rStyle w:val="Hyperlink"/>
            <w:rFonts w:asciiTheme="majorHAnsi" w:hAnsiTheme="majorHAnsi" w:cstheme="majorHAnsi"/>
            <w:sz w:val="20"/>
            <w:szCs w:val="20"/>
          </w:rPr>
          <w:t>Handreiking kwaliteit energieloketten</w:t>
        </w:r>
      </w:hyperlink>
      <w:r w:rsidR="000231E7" w:rsidRPr="00B2332E">
        <w:rPr>
          <w:rFonts w:asciiTheme="majorHAnsi" w:hAnsiTheme="majorHAnsi" w:cstheme="majorHAnsi"/>
          <w:sz w:val="20"/>
          <w:szCs w:val="20"/>
        </w:rPr>
        <w:t xml:space="preserve"> (BZK, 2021) ten behoeve van de advisering en begeleiding van eigenaren-bewoners en verhuurders bij het treffen van verduurzamingsmaatregelen aan hun woning.</w:t>
      </w:r>
    </w:p>
    <w:p w14:paraId="549B3148" w14:textId="00E6B969" w:rsidR="00844EA0" w:rsidRPr="00844EA0" w:rsidRDefault="00844EA0" w:rsidP="00844EA0">
      <w:pPr>
        <w:pStyle w:val="Default"/>
        <w:numPr>
          <w:ilvl w:val="0"/>
          <w:numId w:val="1"/>
        </w:numPr>
        <w:rPr>
          <w:rFonts w:asciiTheme="majorHAnsi" w:hAnsiTheme="majorHAnsi" w:cstheme="majorHAnsi"/>
          <w:i/>
          <w:iCs/>
          <w:sz w:val="20"/>
          <w:szCs w:val="20"/>
        </w:rPr>
      </w:pPr>
      <w:r w:rsidRPr="00844EA0">
        <w:rPr>
          <w:rFonts w:asciiTheme="majorHAnsi" w:hAnsiTheme="majorHAnsi" w:cstheme="majorHAnsi"/>
          <w:i/>
          <w:iCs/>
          <w:sz w:val="20"/>
          <w:szCs w:val="20"/>
        </w:rPr>
        <w:t>Duurzame aanpak</w:t>
      </w:r>
    </w:p>
    <w:p w14:paraId="2E63AC1D" w14:textId="506C29FD" w:rsidR="00844EA0" w:rsidRPr="00844EA0" w:rsidRDefault="00844EA0" w:rsidP="00844EA0">
      <w:pPr>
        <w:pStyle w:val="Default"/>
        <w:ind w:left="360"/>
        <w:rPr>
          <w:rFonts w:asciiTheme="majorHAnsi" w:hAnsiTheme="majorHAnsi" w:cstheme="majorHAnsi"/>
          <w:sz w:val="20"/>
          <w:szCs w:val="20"/>
        </w:rPr>
      </w:pPr>
      <w:r>
        <w:rPr>
          <w:rFonts w:asciiTheme="majorHAnsi" w:hAnsiTheme="majorHAnsi" w:cstheme="majorHAnsi"/>
          <w:sz w:val="20"/>
          <w:szCs w:val="20"/>
        </w:rPr>
        <w:t xml:space="preserve">De uitvoeringsregeling is bedoeld voor het </w:t>
      </w:r>
      <w:r w:rsidRPr="00844EA0">
        <w:rPr>
          <w:rFonts w:asciiTheme="majorHAnsi" w:hAnsiTheme="majorHAnsi" w:cstheme="majorHAnsi"/>
          <w:sz w:val="20"/>
          <w:szCs w:val="20"/>
        </w:rPr>
        <w:t>verduurzamen van de gebouwde omgeving</w:t>
      </w:r>
      <w:r>
        <w:rPr>
          <w:rFonts w:asciiTheme="majorHAnsi" w:hAnsiTheme="majorHAnsi" w:cstheme="majorHAnsi"/>
          <w:sz w:val="20"/>
          <w:szCs w:val="20"/>
        </w:rPr>
        <w:t xml:space="preserve"> en</w:t>
      </w:r>
      <w:r w:rsidRPr="00844EA0">
        <w:rPr>
          <w:rFonts w:asciiTheme="majorHAnsi" w:hAnsiTheme="majorHAnsi" w:cstheme="majorHAnsi"/>
          <w:sz w:val="20"/>
          <w:szCs w:val="20"/>
        </w:rPr>
        <w:t xml:space="preserve"> in het bijzonder gericht op duurzame energiebesparingsmaatregelen voor eigenaren-bewoners en particuliere verhuurders die maximaal 10 woningen verhuren.</w:t>
      </w:r>
      <w:r>
        <w:rPr>
          <w:rFonts w:asciiTheme="majorHAnsi" w:hAnsiTheme="majorHAnsi" w:cstheme="majorHAnsi"/>
          <w:sz w:val="20"/>
          <w:szCs w:val="20"/>
        </w:rPr>
        <w:t xml:space="preserve"> Gemeenten hebben de mogelijkheid om deze uitvoeringsregeling duurzaam in te zetten en </w:t>
      </w:r>
      <w:r w:rsidRPr="00A9045D">
        <w:rPr>
          <w:rFonts w:asciiTheme="majorHAnsi" w:hAnsiTheme="majorHAnsi" w:cstheme="majorHAnsi"/>
          <w:sz w:val="20"/>
          <w:szCs w:val="20"/>
        </w:rPr>
        <w:t xml:space="preserve">hierbij ook oog te hebben voor de overige elementen van duurzaamheid zoals; biodiversiteit, circulariteit en klimaatadaptatie. Een voorbeeld </w:t>
      </w:r>
      <w:r w:rsidR="00AB70D5" w:rsidRPr="00A9045D">
        <w:rPr>
          <w:rFonts w:asciiTheme="majorHAnsi" w:hAnsiTheme="majorHAnsi" w:cstheme="majorHAnsi"/>
          <w:sz w:val="20"/>
          <w:szCs w:val="20"/>
        </w:rPr>
        <w:t xml:space="preserve">hiervan is het combineren van </w:t>
      </w:r>
      <w:r w:rsidRPr="00A9045D">
        <w:rPr>
          <w:rFonts w:asciiTheme="majorHAnsi" w:hAnsiTheme="majorHAnsi" w:cstheme="majorHAnsi"/>
          <w:sz w:val="20"/>
          <w:szCs w:val="20"/>
        </w:rPr>
        <w:t xml:space="preserve">een groen dak met hernieuwbare </w:t>
      </w:r>
      <w:r w:rsidR="006D0773" w:rsidRPr="00A9045D">
        <w:rPr>
          <w:rFonts w:asciiTheme="majorHAnsi" w:hAnsiTheme="majorHAnsi" w:cstheme="majorHAnsi"/>
          <w:sz w:val="20"/>
          <w:szCs w:val="20"/>
        </w:rPr>
        <w:t>energie opwek</w:t>
      </w:r>
      <w:r w:rsidRPr="00A9045D">
        <w:rPr>
          <w:rFonts w:asciiTheme="majorHAnsi" w:hAnsiTheme="majorHAnsi" w:cstheme="majorHAnsi"/>
          <w:sz w:val="20"/>
          <w:szCs w:val="20"/>
        </w:rPr>
        <w:t xml:space="preserve"> </w:t>
      </w:r>
      <w:r w:rsidR="003D13C5" w:rsidRPr="00A9045D">
        <w:rPr>
          <w:rFonts w:asciiTheme="majorHAnsi" w:hAnsiTheme="majorHAnsi" w:cstheme="majorHAnsi"/>
          <w:sz w:val="20"/>
          <w:szCs w:val="20"/>
        </w:rPr>
        <w:t xml:space="preserve">d.m.v. </w:t>
      </w:r>
      <w:r w:rsidRPr="00A9045D">
        <w:rPr>
          <w:rFonts w:asciiTheme="majorHAnsi" w:hAnsiTheme="majorHAnsi" w:cstheme="majorHAnsi"/>
          <w:sz w:val="20"/>
          <w:szCs w:val="20"/>
        </w:rPr>
        <w:t>PV panelen</w:t>
      </w:r>
      <w:r w:rsidR="003D13C5" w:rsidRPr="00A9045D">
        <w:rPr>
          <w:rFonts w:asciiTheme="majorHAnsi" w:hAnsiTheme="majorHAnsi" w:cstheme="majorHAnsi"/>
          <w:sz w:val="20"/>
          <w:szCs w:val="20"/>
        </w:rPr>
        <w:t xml:space="preserve"> wat zorgt voor een </w:t>
      </w:r>
      <w:r w:rsidRPr="00A9045D">
        <w:rPr>
          <w:rFonts w:asciiTheme="majorHAnsi" w:hAnsiTheme="majorHAnsi" w:cstheme="majorHAnsi"/>
          <w:sz w:val="20"/>
          <w:szCs w:val="20"/>
        </w:rPr>
        <w:t>hoger rendement</w:t>
      </w:r>
      <w:r w:rsidR="003D13C5" w:rsidRPr="00A9045D">
        <w:rPr>
          <w:rFonts w:asciiTheme="majorHAnsi" w:hAnsiTheme="majorHAnsi" w:cstheme="majorHAnsi"/>
          <w:sz w:val="20"/>
          <w:szCs w:val="20"/>
        </w:rPr>
        <w:t xml:space="preserve"> in energieopwekking</w:t>
      </w:r>
      <w:r w:rsidRPr="00A9045D">
        <w:rPr>
          <w:rFonts w:asciiTheme="majorHAnsi" w:hAnsiTheme="majorHAnsi" w:cstheme="majorHAnsi"/>
          <w:sz w:val="20"/>
          <w:szCs w:val="20"/>
        </w:rPr>
        <w:t xml:space="preserve">. </w:t>
      </w:r>
      <w:r w:rsidR="006D0773" w:rsidRPr="00A9045D">
        <w:rPr>
          <w:rFonts w:asciiTheme="majorHAnsi" w:hAnsiTheme="majorHAnsi" w:cstheme="majorHAnsi"/>
          <w:sz w:val="20"/>
          <w:szCs w:val="20"/>
        </w:rPr>
        <w:t>Dit draagt direct bij aan de lokale biodiversiteit en opvang van water en</w:t>
      </w:r>
      <w:r w:rsidR="006D0773">
        <w:rPr>
          <w:rFonts w:asciiTheme="majorHAnsi" w:hAnsiTheme="majorHAnsi" w:cstheme="majorHAnsi"/>
          <w:sz w:val="20"/>
          <w:szCs w:val="20"/>
        </w:rPr>
        <w:t xml:space="preserve"> zorgt voor minder hitte in de zomer. Wel is het van belang om bij alle activiteiten in eerste instantie concreet bij te dragen aan het verduurzamen van woningen. </w:t>
      </w:r>
    </w:p>
    <w:p w14:paraId="3D3D283E" w14:textId="77777777" w:rsidR="00EC559A" w:rsidRPr="00B2332E" w:rsidRDefault="00EC559A" w:rsidP="00EC559A">
      <w:pPr>
        <w:pStyle w:val="Default"/>
        <w:numPr>
          <w:ilvl w:val="0"/>
          <w:numId w:val="1"/>
        </w:numPr>
        <w:rPr>
          <w:rFonts w:asciiTheme="majorHAnsi" w:hAnsiTheme="majorHAnsi" w:cstheme="majorHAnsi"/>
          <w:sz w:val="20"/>
          <w:szCs w:val="20"/>
        </w:rPr>
      </w:pPr>
      <w:r w:rsidRPr="00B2332E">
        <w:rPr>
          <w:rFonts w:asciiTheme="majorHAnsi" w:hAnsiTheme="majorHAnsi" w:cstheme="majorHAnsi"/>
          <w:i/>
          <w:iCs/>
          <w:sz w:val="20"/>
          <w:szCs w:val="20"/>
        </w:rPr>
        <w:t xml:space="preserve">Subsidiabele kosten </w:t>
      </w:r>
    </w:p>
    <w:p w14:paraId="0B28F49F" w14:textId="4D6089E4" w:rsidR="00EC559A" w:rsidRPr="00B2332E" w:rsidRDefault="00EC559A" w:rsidP="00EC559A">
      <w:pPr>
        <w:pStyle w:val="Default"/>
        <w:ind w:left="360"/>
        <w:rPr>
          <w:rFonts w:asciiTheme="majorHAnsi" w:hAnsiTheme="majorHAnsi" w:cstheme="majorHAnsi"/>
          <w:sz w:val="20"/>
          <w:szCs w:val="20"/>
        </w:rPr>
      </w:pPr>
      <w:r w:rsidRPr="00B2332E">
        <w:rPr>
          <w:rFonts w:asciiTheme="majorHAnsi" w:hAnsiTheme="majorHAnsi" w:cstheme="majorHAnsi"/>
          <w:sz w:val="20"/>
          <w:szCs w:val="20"/>
        </w:rPr>
        <w:t xml:space="preserve">Met deze subsidie wil de provincie bijdragen in de kosten die rechtstreeks verband houden met de continuering van de regionale energieloketten en het (laten) uitvoeren van activiteiten waarmee eigenaren-bewoners worden gestimuleerd maatregelen te laten treffen. Indien er sprake is van extra kosten door externe inhuur of een ambtenaar die coördinerende werkzaamheden verricht in verband met deze uitvoeringsregeling die naar het oordeel van Gedeputeerde Staten aannemelijk zijn, kunnen deze ook als subsidiabele kosten worden opgevoerd. </w:t>
      </w:r>
    </w:p>
    <w:p w14:paraId="7C5DC08F" w14:textId="17E76FB1" w:rsidR="00EB0DD9" w:rsidRPr="00B2332E" w:rsidRDefault="00EB0DD9" w:rsidP="000231E7">
      <w:pPr>
        <w:pStyle w:val="Default"/>
        <w:numPr>
          <w:ilvl w:val="0"/>
          <w:numId w:val="1"/>
        </w:numPr>
        <w:rPr>
          <w:rFonts w:asciiTheme="majorHAnsi" w:hAnsiTheme="majorHAnsi" w:cstheme="majorHAnsi"/>
          <w:i/>
          <w:iCs/>
          <w:sz w:val="20"/>
          <w:szCs w:val="20"/>
        </w:rPr>
      </w:pPr>
      <w:r w:rsidRPr="00B2332E">
        <w:rPr>
          <w:rFonts w:asciiTheme="majorHAnsi" w:hAnsiTheme="majorHAnsi" w:cstheme="majorHAnsi"/>
          <w:i/>
          <w:iCs/>
          <w:sz w:val="20"/>
          <w:szCs w:val="20"/>
        </w:rPr>
        <w:t>Activiteiten voor particuliere woningeigenaren</w:t>
      </w:r>
      <w:r w:rsidR="001F1E79">
        <w:rPr>
          <w:rFonts w:asciiTheme="majorHAnsi" w:hAnsiTheme="majorHAnsi" w:cstheme="majorHAnsi"/>
          <w:i/>
          <w:iCs/>
          <w:sz w:val="20"/>
          <w:szCs w:val="20"/>
        </w:rPr>
        <w:t xml:space="preserve"> en verhuurders</w:t>
      </w:r>
    </w:p>
    <w:p w14:paraId="134C7FDE" w14:textId="29698A92" w:rsidR="00362A83" w:rsidRPr="00B2332E" w:rsidRDefault="00EB0DD9" w:rsidP="000231E7">
      <w:pPr>
        <w:pStyle w:val="Default"/>
        <w:ind w:left="360"/>
        <w:rPr>
          <w:rFonts w:asciiTheme="majorHAnsi" w:hAnsiTheme="majorHAnsi" w:cstheme="majorHAnsi"/>
          <w:sz w:val="20"/>
          <w:szCs w:val="20"/>
        </w:rPr>
      </w:pPr>
      <w:r w:rsidRPr="00B2332E">
        <w:rPr>
          <w:rFonts w:asciiTheme="majorHAnsi" w:hAnsiTheme="majorHAnsi" w:cstheme="majorHAnsi"/>
          <w:sz w:val="20"/>
          <w:szCs w:val="20"/>
        </w:rPr>
        <w:t xml:space="preserve">Het </w:t>
      </w:r>
      <w:r w:rsidR="00362A83" w:rsidRPr="00B2332E">
        <w:rPr>
          <w:rFonts w:asciiTheme="majorHAnsi" w:hAnsiTheme="majorHAnsi" w:cstheme="majorHAnsi"/>
          <w:sz w:val="20"/>
          <w:szCs w:val="20"/>
        </w:rPr>
        <w:t>doel is om eigenaren bewoners en verhu</w:t>
      </w:r>
      <w:r w:rsidR="00362A83" w:rsidRPr="001D3960">
        <w:rPr>
          <w:rFonts w:asciiTheme="majorHAnsi" w:hAnsiTheme="majorHAnsi" w:cstheme="majorHAnsi"/>
          <w:color w:val="auto"/>
          <w:sz w:val="20"/>
          <w:szCs w:val="20"/>
        </w:rPr>
        <w:t>urders (t/m</w:t>
      </w:r>
      <w:r w:rsidR="00571C49" w:rsidRPr="001D3960">
        <w:rPr>
          <w:rFonts w:asciiTheme="majorHAnsi" w:hAnsiTheme="majorHAnsi" w:cstheme="majorHAnsi"/>
          <w:color w:val="auto"/>
          <w:sz w:val="20"/>
          <w:szCs w:val="20"/>
        </w:rPr>
        <w:t xml:space="preserve"> 10</w:t>
      </w:r>
      <w:r w:rsidR="00362A83" w:rsidRPr="001D3960">
        <w:rPr>
          <w:rFonts w:asciiTheme="majorHAnsi" w:hAnsiTheme="majorHAnsi" w:cstheme="majorHAnsi"/>
          <w:color w:val="auto"/>
          <w:sz w:val="20"/>
          <w:szCs w:val="20"/>
        </w:rPr>
        <w:t xml:space="preserve"> woningen) te stimuleren om hun woning te verduurzamen. De gemeente kan hen stimuleren door bijvoorbeeld </w:t>
      </w:r>
      <w:r w:rsidR="00362A83" w:rsidRPr="00B2332E">
        <w:rPr>
          <w:rFonts w:asciiTheme="majorHAnsi" w:hAnsiTheme="majorHAnsi" w:cstheme="majorHAnsi"/>
          <w:sz w:val="20"/>
          <w:szCs w:val="20"/>
        </w:rPr>
        <w:t xml:space="preserve">het organiseren van collectieve inkoopacties van isolatiemateriaal of zonnepanelen of het aanbieden van (maatwerk) advies aan inwoners. </w:t>
      </w:r>
      <w:r w:rsidR="00362A83" w:rsidRPr="00B2332E">
        <w:rPr>
          <w:rFonts w:asciiTheme="majorHAnsi" w:hAnsiTheme="majorHAnsi" w:cstheme="majorHAnsi"/>
          <w:sz w:val="20"/>
          <w:szCs w:val="20"/>
        </w:rPr>
        <w:lastRenderedPageBreak/>
        <w:t xml:space="preserve">Het Servicepunt Duurzame Energie (SPDE) heeft een overzicht of wel </w:t>
      </w:r>
      <w:hyperlink r:id="rId6" w:history="1">
        <w:r w:rsidR="00362A83" w:rsidRPr="00B2332E">
          <w:rPr>
            <w:rStyle w:val="Hyperlink"/>
            <w:rFonts w:asciiTheme="majorHAnsi" w:hAnsiTheme="majorHAnsi" w:cstheme="majorHAnsi"/>
            <w:sz w:val="20"/>
            <w:szCs w:val="20"/>
          </w:rPr>
          <w:t>menukaart</w:t>
        </w:r>
      </w:hyperlink>
      <w:r w:rsidR="00362A83" w:rsidRPr="00B2332E">
        <w:rPr>
          <w:rFonts w:asciiTheme="majorHAnsi" w:hAnsiTheme="majorHAnsi" w:cstheme="majorHAnsi"/>
          <w:sz w:val="20"/>
          <w:szCs w:val="20"/>
        </w:rPr>
        <w:t xml:space="preserve"> gemaakt van verschillende activiteiten die een gemeente kan ondernemen om het verduurzamen te stimuleren. Deze menukaart kan ter inspiratie worden gebruikt, waarbij altijd kritisch het doel en de doelgroep van deze regeling in het oog moet worden gehouden. </w:t>
      </w:r>
    </w:p>
    <w:p w14:paraId="6BF4E102" w14:textId="2C68F15B" w:rsidR="00B2332E" w:rsidRPr="00B2332E" w:rsidRDefault="00B2332E" w:rsidP="00B2332E">
      <w:pPr>
        <w:pStyle w:val="Default"/>
        <w:rPr>
          <w:rFonts w:asciiTheme="majorHAnsi" w:hAnsiTheme="majorHAnsi" w:cstheme="majorHAnsi"/>
          <w:sz w:val="20"/>
          <w:szCs w:val="20"/>
        </w:rPr>
      </w:pPr>
    </w:p>
    <w:p w14:paraId="50FFEBA0" w14:textId="3C2A577C" w:rsidR="00B2332E" w:rsidRPr="00B2332E" w:rsidRDefault="00B2332E" w:rsidP="00B2332E">
      <w:pPr>
        <w:pStyle w:val="Default"/>
        <w:rPr>
          <w:rFonts w:asciiTheme="majorHAnsi" w:hAnsiTheme="majorHAnsi" w:cstheme="majorHAnsi"/>
          <w:b/>
          <w:bCs/>
          <w:sz w:val="20"/>
          <w:szCs w:val="20"/>
        </w:rPr>
      </w:pPr>
      <w:r w:rsidRPr="00B2332E">
        <w:rPr>
          <w:rFonts w:asciiTheme="majorHAnsi" w:hAnsiTheme="majorHAnsi" w:cstheme="majorHAnsi"/>
          <w:b/>
          <w:bCs/>
          <w:sz w:val="20"/>
          <w:szCs w:val="20"/>
        </w:rPr>
        <w:t xml:space="preserve">Aanvraag, monitoring en verantwoording </w:t>
      </w:r>
    </w:p>
    <w:p w14:paraId="3F6B0730" w14:textId="74EA48DD" w:rsidR="00B2332E" w:rsidRDefault="00B2332E" w:rsidP="00B2332E">
      <w:pPr>
        <w:pStyle w:val="Default"/>
        <w:rPr>
          <w:rFonts w:asciiTheme="majorHAnsi" w:hAnsiTheme="majorHAnsi" w:cstheme="majorHAnsi"/>
          <w:sz w:val="20"/>
          <w:szCs w:val="20"/>
        </w:rPr>
      </w:pPr>
      <w:r>
        <w:rPr>
          <w:rFonts w:asciiTheme="majorHAnsi" w:hAnsiTheme="majorHAnsi" w:cstheme="majorHAnsi"/>
          <w:sz w:val="20"/>
          <w:szCs w:val="20"/>
        </w:rPr>
        <w:t>Om het effect van deze uitvoeringsregeling goed te kunnen meten wordt er veel belang gehecht aan het inzichtelijk maken van de activiteiten en het meten van de resultaten. Dit biedt de mogelijkheid om tussentijds bij te sturen en de gelden zo effectief mogelijk bij te laten dragen aan het doel; het verduurzamen van woningen.</w:t>
      </w:r>
      <w:r w:rsidR="000B29AB">
        <w:rPr>
          <w:rFonts w:asciiTheme="majorHAnsi" w:hAnsiTheme="majorHAnsi" w:cstheme="majorHAnsi"/>
          <w:sz w:val="20"/>
          <w:szCs w:val="20"/>
        </w:rPr>
        <w:t xml:space="preserve"> </w:t>
      </w:r>
    </w:p>
    <w:p w14:paraId="5CFAE7B3" w14:textId="2DFC8145" w:rsidR="000B29AB" w:rsidRPr="000B29AB" w:rsidRDefault="000B29AB" w:rsidP="000B29AB">
      <w:pPr>
        <w:pStyle w:val="Default"/>
        <w:numPr>
          <w:ilvl w:val="0"/>
          <w:numId w:val="1"/>
        </w:numPr>
        <w:rPr>
          <w:rFonts w:asciiTheme="majorHAnsi" w:hAnsiTheme="majorHAnsi" w:cstheme="majorHAnsi"/>
          <w:i/>
          <w:iCs/>
          <w:sz w:val="20"/>
          <w:szCs w:val="20"/>
        </w:rPr>
      </w:pPr>
      <w:r w:rsidRPr="000B29AB">
        <w:rPr>
          <w:rFonts w:asciiTheme="majorHAnsi" w:hAnsiTheme="majorHAnsi" w:cstheme="majorHAnsi"/>
          <w:i/>
          <w:iCs/>
          <w:sz w:val="20"/>
          <w:szCs w:val="20"/>
        </w:rPr>
        <w:t>Aanvraag subsidie</w:t>
      </w:r>
    </w:p>
    <w:p w14:paraId="7486906E" w14:textId="77777777" w:rsidR="00345D71" w:rsidRDefault="000F3551" w:rsidP="00C02677">
      <w:pPr>
        <w:pStyle w:val="Default"/>
        <w:numPr>
          <w:ilvl w:val="0"/>
          <w:numId w:val="4"/>
        </w:numPr>
        <w:rPr>
          <w:rFonts w:asciiTheme="majorHAnsi" w:hAnsiTheme="majorHAnsi" w:cstheme="majorHAnsi"/>
          <w:sz w:val="20"/>
          <w:szCs w:val="20"/>
        </w:rPr>
      </w:pPr>
      <w:r>
        <w:rPr>
          <w:rFonts w:asciiTheme="majorHAnsi" w:hAnsiTheme="majorHAnsi" w:cstheme="majorHAnsi"/>
          <w:sz w:val="20"/>
          <w:szCs w:val="20"/>
        </w:rPr>
        <w:t xml:space="preserve">De aanvraagperiode van deze uitvoeringsregeling loopt van 1 februari 2023 t/m 1 juli 2023. Aanvragen dienen te voldoen aan de genoemde eisen in de Uitvoeringsregeling. Voor het indienen van de aanvraag kan gebruik worden gemaakt van </w:t>
      </w:r>
      <w:r w:rsidR="006E17E3">
        <w:rPr>
          <w:rFonts w:asciiTheme="majorHAnsi" w:hAnsiTheme="majorHAnsi" w:cstheme="majorHAnsi"/>
          <w:sz w:val="20"/>
          <w:szCs w:val="20"/>
        </w:rPr>
        <w:t>het aanvraagformulier</w:t>
      </w:r>
      <w:r w:rsidR="00916508">
        <w:rPr>
          <w:rFonts w:asciiTheme="majorHAnsi" w:hAnsiTheme="majorHAnsi" w:cstheme="majorHAnsi"/>
          <w:sz w:val="20"/>
          <w:szCs w:val="20"/>
        </w:rPr>
        <w:t xml:space="preserve">. </w:t>
      </w:r>
    </w:p>
    <w:p w14:paraId="2B3FA387" w14:textId="24B48EE0" w:rsidR="00D46F9F" w:rsidRDefault="001C0E3C" w:rsidP="00C02677">
      <w:pPr>
        <w:pStyle w:val="Default"/>
        <w:rPr>
          <w:rFonts w:asciiTheme="majorHAnsi" w:hAnsiTheme="majorHAnsi" w:cstheme="majorHAnsi"/>
          <w:sz w:val="20"/>
          <w:szCs w:val="20"/>
        </w:rPr>
      </w:pPr>
      <w:r w:rsidRPr="00345D71">
        <w:rPr>
          <w:rFonts w:asciiTheme="majorHAnsi" w:hAnsiTheme="majorHAnsi" w:cstheme="majorHAnsi"/>
          <w:sz w:val="20"/>
          <w:szCs w:val="20"/>
        </w:rPr>
        <w:t>Als een gemeente of ondersteuningsdienst een subsidie wil aanvragen namens de regio, dan kan dat door middel van een machtigingsformulier. Met het machtigingsformulier machtigen de deelnemende samenwerkingspartners één gemeente of ondersteuningsdienst tot het indienen van het subsidieverzoek voor 2 of meerdere gemeenten in een regio. De gemachtigde kan dan de subsidie ontvangen, de rapportages verzorgen en het verzoek om vaststelling indienen namens de samenwerkende gemeenten. De samenwerkende gemeenten ontvangen de voor hen beschikbaar gestelde budgetten dan niet zelf. Het machtigingsformulier staat bij de overige formulieren op het Subsidieloket van de provincie Noord-Holland.</w:t>
      </w:r>
    </w:p>
    <w:p w14:paraId="014E2D0B" w14:textId="038BF4EC" w:rsidR="00147491" w:rsidRDefault="00147491" w:rsidP="00C02677">
      <w:pPr>
        <w:pStyle w:val="Default"/>
        <w:numPr>
          <w:ilvl w:val="0"/>
          <w:numId w:val="4"/>
        </w:numPr>
        <w:rPr>
          <w:rFonts w:asciiTheme="majorHAnsi" w:hAnsiTheme="majorHAnsi" w:cstheme="majorHAnsi"/>
          <w:sz w:val="20"/>
          <w:szCs w:val="20"/>
        </w:rPr>
      </w:pPr>
      <w:r>
        <w:rPr>
          <w:rFonts w:asciiTheme="majorHAnsi" w:hAnsiTheme="majorHAnsi" w:cstheme="majorHAnsi"/>
          <w:sz w:val="20"/>
          <w:szCs w:val="20"/>
        </w:rPr>
        <w:t>Er moet 1 aanvraag ingediend worden voor 3 of 4 jaar. Het programma voor jaar 2 en verder kan minder gedetailleerd ingediend worden, dat kan later ingevuld worden. Wel moet het gehele bedrag aangevraagd worden.</w:t>
      </w:r>
    </w:p>
    <w:p w14:paraId="3C123B0B" w14:textId="1F93EC8E" w:rsidR="002D1B00" w:rsidRPr="00B2332E" w:rsidRDefault="002D1B00" w:rsidP="000B29AB">
      <w:pPr>
        <w:pStyle w:val="Default"/>
        <w:ind w:left="360"/>
        <w:rPr>
          <w:rFonts w:asciiTheme="majorHAnsi" w:hAnsiTheme="majorHAnsi" w:cstheme="majorHAnsi"/>
          <w:sz w:val="20"/>
          <w:szCs w:val="20"/>
        </w:rPr>
      </w:pPr>
    </w:p>
    <w:p w14:paraId="2138FDD1" w14:textId="12910E84" w:rsidR="00EB0DD9" w:rsidRPr="00B2332E" w:rsidRDefault="00EB0DD9" w:rsidP="00362A83">
      <w:pPr>
        <w:pStyle w:val="Default"/>
        <w:numPr>
          <w:ilvl w:val="0"/>
          <w:numId w:val="1"/>
        </w:numPr>
        <w:rPr>
          <w:rFonts w:asciiTheme="majorHAnsi" w:hAnsiTheme="majorHAnsi" w:cstheme="majorHAnsi"/>
          <w:i/>
          <w:iCs/>
          <w:sz w:val="20"/>
          <w:szCs w:val="20"/>
        </w:rPr>
      </w:pPr>
      <w:r w:rsidRPr="00B2332E">
        <w:rPr>
          <w:rFonts w:asciiTheme="majorHAnsi" w:hAnsiTheme="majorHAnsi" w:cstheme="majorHAnsi"/>
          <w:i/>
          <w:iCs/>
          <w:sz w:val="20"/>
          <w:szCs w:val="20"/>
        </w:rPr>
        <w:t xml:space="preserve">Monitoring resultaten </w:t>
      </w:r>
    </w:p>
    <w:p w14:paraId="34533435" w14:textId="77777777" w:rsidR="009701B2" w:rsidRDefault="00EB0DD9" w:rsidP="00362A83">
      <w:pPr>
        <w:pStyle w:val="Default"/>
        <w:ind w:left="360"/>
        <w:rPr>
          <w:rFonts w:asciiTheme="majorHAnsi" w:hAnsiTheme="majorHAnsi" w:cstheme="majorHAnsi"/>
          <w:sz w:val="20"/>
          <w:szCs w:val="20"/>
        </w:rPr>
      </w:pPr>
      <w:r w:rsidRPr="00B2332E">
        <w:rPr>
          <w:rFonts w:asciiTheme="majorHAnsi" w:hAnsiTheme="majorHAnsi" w:cstheme="majorHAnsi"/>
          <w:sz w:val="20"/>
          <w:szCs w:val="20"/>
        </w:rPr>
        <w:t>Omdat het programma gericht is op het stimuleren van eigenaren-bewoners</w:t>
      </w:r>
      <w:r w:rsidR="0036793F">
        <w:rPr>
          <w:rFonts w:asciiTheme="majorHAnsi" w:hAnsiTheme="majorHAnsi" w:cstheme="majorHAnsi"/>
          <w:sz w:val="20"/>
          <w:szCs w:val="20"/>
        </w:rPr>
        <w:t xml:space="preserve"> (en verhuurders t/m 10 woningen)</w:t>
      </w:r>
      <w:r w:rsidRPr="00B2332E">
        <w:rPr>
          <w:rFonts w:asciiTheme="majorHAnsi" w:hAnsiTheme="majorHAnsi" w:cstheme="majorHAnsi"/>
          <w:sz w:val="20"/>
          <w:szCs w:val="20"/>
        </w:rPr>
        <w:t xml:space="preserve"> om maatregelen te treffen vragen wij om inzicht te geven </w:t>
      </w:r>
      <w:r w:rsidR="00120FBF" w:rsidRPr="00B2332E">
        <w:rPr>
          <w:rFonts w:asciiTheme="majorHAnsi" w:hAnsiTheme="majorHAnsi" w:cstheme="majorHAnsi"/>
          <w:sz w:val="20"/>
          <w:szCs w:val="20"/>
        </w:rPr>
        <w:t>in de resultaten van de activiteiten die mede vanuit deze uitvoeringsregeling zijn gefinancierd. Hierbij gaat het om de bereikte inwoners en op welk niveau zij geïnformeerd zijn en de getroffen maatregelen</w:t>
      </w:r>
      <w:r w:rsidRPr="00B2332E">
        <w:rPr>
          <w:rFonts w:asciiTheme="majorHAnsi" w:hAnsiTheme="majorHAnsi" w:cstheme="majorHAnsi"/>
          <w:sz w:val="20"/>
          <w:szCs w:val="20"/>
        </w:rPr>
        <w:t xml:space="preserve">. </w:t>
      </w:r>
      <w:r w:rsidR="00120FBF" w:rsidRPr="00B2332E">
        <w:rPr>
          <w:rFonts w:asciiTheme="majorHAnsi" w:hAnsiTheme="majorHAnsi" w:cstheme="majorHAnsi"/>
          <w:sz w:val="20"/>
          <w:szCs w:val="20"/>
        </w:rPr>
        <w:t>De bekende e</w:t>
      </w:r>
      <w:r w:rsidRPr="00B2332E">
        <w:rPr>
          <w:rFonts w:asciiTheme="majorHAnsi" w:hAnsiTheme="majorHAnsi" w:cstheme="majorHAnsi"/>
          <w:sz w:val="20"/>
          <w:szCs w:val="20"/>
        </w:rPr>
        <w:t>nergieloketten hebben al een goed ingericht monitoringsysteem waarmee zij de effecten van hun inspanning kunnen volgen.</w:t>
      </w:r>
      <w:r w:rsidR="00120FBF" w:rsidRPr="00B2332E">
        <w:rPr>
          <w:rFonts w:asciiTheme="majorHAnsi" w:hAnsiTheme="majorHAnsi" w:cstheme="majorHAnsi"/>
          <w:sz w:val="20"/>
          <w:szCs w:val="20"/>
        </w:rPr>
        <w:t xml:space="preserve"> </w:t>
      </w:r>
      <w:r w:rsidR="00120FBF" w:rsidRPr="00B2332E">
        <w:rPr>
          <w:rFonts w:asciiTheme="majorHAnsi" w:hAnsiTheme="majorHAnsi" w:cstheme="majorHAnsi"/>
          <w:i/>
          <w:iCs/>
          <w:sz w:val="20"/>
          <w:szCs w:val="20"/>
        </w:rPr>
        <w:t>Wel ben je zelf als gemeente verantwoordelijk voor de verantwoording van de subsidie, dus vraag vooraf kritisch na wat zij wel en niet kunnen monitoren en met welke frequentie.</w:t>
      </w:r>
      <w:r w:rsidRPr="00B2332E">
        <w:rPr>
          <w:rFonts w:asciiTheme="majorHAnsi" w:hAnsiTheme="majorHAnsi" w:cstheme="majorHAnsi"/>
          <w:sz w:val="20"/>
          <w:szCs w:val="20"/>
        </w:rPr>
        <w:t xml:space="preserve"> </w:t>
      </w:r>
      <w:r w:rsidR="00120FBF" w:rsidRPr="00B2332E">
        <w:rPr>
          <w:rFonts w:asciiTheme="majorHAnsi" w:hAnsiTheme="majorHAnsi" w:cstheme="majorHAnsi"/>
          <w:sz w:val="20"/>
          <w:szCs w:val="20"/>
        </w:rPr>
        <w:t>Let ook op dat bij inzet van andere partijen de monitoring verplicht is en dat je dit direct meeneemt in de uitvraag.</w:t>
      </w:r>
    </w:p>
    <w:p w14:paraId="226E0A5A" w14:textId="08E6B68A" w:rsidR="00EB0DD9" w:rsidRPr="00B2332E" w:rsidRDefault="00EB0DD9" w:rsidP="00362A83">
      <w:pPr>
        <w:pStyle w:val="Default"/>
        <w:ind w:left="360"/>
        <w:rPr>
          <w:rFonts w:asciiTheme="majorHAnsi" w:hAnsiTheme="majorHAnsi" w:cstheme="majorHAnsi"/>
          <w:sz w:val="20"/>
          <w:szCs w:val="20"/>
        </w:rPr>
      </w:pPr>
    </w:p>
    <w:p w14:paraId="58C48800" w14:textId="6425F23B" w:rsidR="00EB0DD9" w:rsidRPr="00B2332E" w:rsidRDefault="00EB0DD9" w:rsidP="00EC559A">
      <w:pPr>
        <w:pStyle w:val="Default"/>
        <w:numPr>
          <w:ilvl w:val="0"/>
          <w:numId w:val="1"/>
        </w:numPr>
        <w:rPr>
          <w:rFonts w:asciiTheme="majorHAnsi" w:hAnsiTheme="majorHAnsi" w:cstheme="majorHAnsi"/>
          <w:sz w:val="20"/>
          <w:szCs w:val="20"/>
        </w:rPr>
      </w:pPr>
      <w:r w:rsidRPr="00B2332E">
        <w:rPr>
          <w:rFonts w:asciiTheme="majorHAnsi" w:hAnsiTheme="majorHAnsi" w:cstheme="majorHAnsi"/>
          <w:i/>
          <w:iCs/>
          <w:sz w:val="20"/>
          <w:szCs w:val="20"/>
        </w:rPr>
        <w:t xml:space="preserve">Voortgangsrapportage, uitbetaling subsidie en verantwoording </w:t>
      </w:r>
    </w:p>
    <w:p w14:paraId="06A23C73" w14:textId="11E521FA" w:rsidR="00EB0DD9" w:rsidRDefault="00EB0DD9" w:rsidP="00EC559A">
      <w:pPr>
        <w:pStyle w:val="Default"/>
        <w:ind w:left="360"/>
        <w:rPr>
          <w:rFonts w:asciiTheme="majorHAnsi" w:hAnsiTheme="majorHAnsi" w:cstheme="majorHAnsi"/>
          <w:sz w:val="20"/>
          <w:szCs w:val="20"/>
        </w:rPr>
      </w:pPr>
      <w:r w:rsidRPr="00B2332E">
        <w:rPr>
          <w:rFonts w:asciiTheme="majorHAnsi" w:hAnsiTheme="majorHAnsi" w:cstheme="majorHAnsi"/>
          <w:sz w:val="20"/>
          <w:szCs w:val="20"/>
        </w:rPr>
        <w:t xml:space="preserve">Het </w:t>
      </w:r>
      <w:r w:rsidR="006A16CF" w:rsidRPr="00B2332E">
        <w:rPr>
          <w:rFonts w:asciiTheme="majorHAnsi" w:hAnsiTheme="majorHAnsi" w:cstheme="majorHAnsi"/>
          <w:sz w:val="20"/>
          <w:szCs w:val="20"/>
        </w:rPr>
        <w:t>energiebesparings</w:t>
      </w:r>
      <w:r w:rsidRPr="00B2332E">
        <w:rPr>
          <w:rFonts w:asciiTheme="majorHAnsi" w:hAnsiTheme="majorHAnsi" w:cstheme="majorHAnsi"/>
          <w:sz w:val="20"/>
          <w:szCs w:val="20"/>
        </w:rPr>
        <w:t>programma</w:t>
      </w:r>
      <w:r w:rsidR="006A16CF" w:rsidRPr="00B2332E">
        <w:rPr>
          <w:rFonts w:asciiTheme="majorHAnsi" w:hAnsiTheme="majorHAnsi" w:cstheme="majorHAnsi"/>
          <w:sz w:val="20"/>
          <w:szCs w:val="20"/>
        </w:rPr>
        <w:t xml:space="preserve"> zoals bij aanvraag beschreven</w:t>
      </w:r>
      <w:r w:rsidRPr="00B2332E">
        <w:rPr>
          <w:rFonts w:asciiTheme="majorHAnsi" w:hAnsiTheme="majorHAnsi" w:cstheme="majorHAnsi"/>
          <w:sz w:val="20"/>
          <w:szCs w:val="20"/>
        </w:rPr>
        <w:t xml:space="preserve"> vormt de basis waarop de subsidie wordt toegekend. Om de administratieve lasten te beperken wil de provincie de subsidie voor de gehele programmaperiode verlenen en niet ieder jaar een nieuwe beschikking afgeven. Omdat het voor de regio wenselijk is om op veranderingen en nieuwe </w:t>
      </w:r>
      <w:r w:rsidRPr="00A9045D">
        <w:rPr>
          <w:rFonts w:asciiTheme="majorHAnsi" w:hAnsiTheme="majorHAnsi" w:cstheme="majorHAnsi"/>
          <w:sz w:val="20"/>
          <w:szCs w:val="20"/>
        </w:rPr>
        <w:t xml:space="preserve">inzichten te kunnen inspelen en het lastig is om nu al concreet aan te geven welke activiteiten er volgend jaar gaan worden uitgevoerd, is het voldoende dat het programma voor het eerste jaar concreet aangeeft welke activiteiten er gaan worden uitgevoerd. Het is dan voldoende dat voor </w:t>
      </w:r>
      <w:r w:rsidR="006A16CF" w:rsidRPr="00A9045D">
        <w:rPr>
          <w:rFonts w:asciiTheme="majorHAnsi" w:hAnsiTheme="majorHAnsi" w:cstheme="majorHAnsi"/>
          <w:sz w:val="20"/>
          <w:szCs w:val="20"/>
        </w:rPr>
        <w:t>de daarop volgende</w:t>
      </w:r>
      <w:r w:rsidRPr="00A9045D">
        <w:rPr>
          <w:rFonts w:asciiTheme="majorHAnsi" w:hAnsiTheme="majorHAnsi" w:cstheme="majorHAnsi"/>
          <w:sz w:val="20"/>
          <w:szCs w:val="20"/>
        </w:rPr>
        <w:t xml:space="preserve"> ja</w:t>
      </w:r>
      <w:r w:rsidR="006A16CF" w:rsidRPr="00A9045D">
        <w:rPr>
          <w:rFonts w:asciiTheme="majorHAnsi" w:hAnsiTheme="majorHAnsi" w:cstheme="majorHAnsi"/>
          <w:sz w:val="20"/>
          <w:szCs w:val="20"/>
        </w:rPr>
        <w:t>ren</w:t>
      </w:r>
      <w:r w:rsidRPr="00A9045D">
        <w:rPr>
          <w:rFonts w:asciiTheme="majorHAnsi" w:hAnsiTheme="majorHAnsi" w:cstheme="majorHAnsi"/>
          <w:sz w:val="20"/>
          <w:szCs w:val="20"/>
        </w:rPr>
        <w:t xml:space="preserve"> globaal inzicht in de activiteiten wordt gegeven.</w:t>
      </w:r>
      <w:r w:rsidRPr="00B2332E">
        <w:rPr>
          <w:rFonts w:asciiTheme="majorHAnsi" w:hAnsiTheme="majorHAnsi" w:cstheme="majorHAnsi"/>
          <w:sz w:val="20"/>
          <w:szCs w:val="20"/>
        </w:rPr>
        <w:t xml:space="preserve"> </w:t>
      </w:r>
    </w:p>
    <w:p w14:paraId="537B5FCA" w14:textId="77777777" w:rsidR="009701B2" w:rsidRPr="00B2332E" w:rsidRDefault="009701B2" w:rsidP="00EC559A">
      <w:pPr>
        <w:pStyle w:val="Default"/>
        <w:ind w:left="360"/>
        <w:rPr>
          <w:rFonts w:asciiTheme="majorHAnsi" w:hAnsiTheme="majorHAnsi" w:cstheme="majorHAnsi"/>
          <w:sz w:val="20"/>
          <w:szCs w:val="20"/>
        </w:rPr>
      </w:pPr>
    </w:p>
    <w:p w14:paraId="18F5B017" w14:textId="5EF6C01A" w:rsidR="00EB0DD9" w:rsidRPr="00B2332E" w:rsidRDefault="00EB0DD9" w:rsidP="006A16CF">
      <w:pPr>
        <w:pStyle w:val="Default"/>
        <w:numPr>
          <w:ilvl w:val="0"/>
          <w:numId w:val="1"/>
        </w:numPr>
        <w:rPr>
          <w:rFonts w:asciiTheme="majorHAnsi" w:hAnsiTheme="majorHAnsi" w:cstheme="majorHAnsi"/>
          <w:sz w:val="20"/>
          <w:szCs w:val="20"/>
        </w:rPr>
      </w:pPr>
      <w:r w:rsidRPr="00B2332E">
        <w:rPr>
          <w:rFonts w:asciiTheme="majorHAnsi" w:hAnsiTheme="majorHAnsi" w:cstheme="majorHAnsi"/>
          <w:i/>
          <w:iCs/>
          <w:sz w:val="20"/>
          <w:szCs w:val="20"/>
        </w:rPr>
        <w:t xml:space="preserve">Voortgangsrapportages en voorschotten </w:t>
      </w:r>
    </w:p>
    <w:p w14:paraId="2ED516C1" w14:textId="5D05A61F" w:rsidR="00A54A91" w:rsidRDefault="00EB0DD9" w:rsidP="00A54A91">
      <w:pPr>
        <w:pStyle w:val="Default"/>
        <w:ind w:left="360"/>
        <w:rPr>
          <w:rFonts w:asciiTheme="majorHAnsi" w:hAnsiTheme="majorHAnsi" w:cstheme="majorHAnsi"/>
          <w:sz w:val="20"/>
          <w:szCs w:val="20"/>
        </w:rPr>
      </w:pPr>
      <w:r w:rsidRPr="00B2332E">
        <w:rPr>
          <w:rFonts w:asciiTheme="majorHAnsi" w:hAnsiTheme="majorHAnsi" w:cstheme="majorHAnsi"/>
          <w:sz w:val="20"/>
          <w:szCs w:val="20"/>
        </w:rPr>
        <w:t xml:space="preserve">Uitbetaling van de subsidie zal in periodieke voorschotten plaatsvinden. Het eerste voorschot wordt verleend na goedkeuring van het programma (inclusief begroting) voor het eerste jaar. Na een jaar </w:t>
      </w:r>
      <w:r w:rsidRPr="00A9045D">
        <w:rPr>
          <w:rFonts w:asciiTheme="majorHAnsi" w:hAnsiTheme="majorHAnsi" w:cstheme="majorHAnsi"/>
          <w:sz w:val="20"/>
          <w:szCs w:val="20"/>
        </w:rPr>
        <w:t xml:space="preserve">rapporteert de </w:t>
      </w:r>
      <w:r w:rsidR="00A9045D" w:rsidRPr="00A9045D">
        <w:rPr>
          <w:rFonts w:asciiTheme="majorHAnsi" w:hAnsiTheme="majorHAnsi" w:cstheme="majorHAnsi"/>
          <w:sz w:val="20"/>
          <w:szCs w:val="20"/>
        </w:rPr>
        <w:t>gemeente</w:t>
      </w:r>
      <w:r w:rsidRPr="00A9045D">
        <w:rPr>
          <w:rFonts w:asciiTheme="majorHAnsi" w:hAnsiTheme="majorHAnsi" w:cstheme="majorHAnsi"/>
          <w:sz w:val="20"/>
          <w:szCs w:val="20"/>
        </w:rPr>
        <w:t xml:space="preserve"> de voortgang van de activiteiten en de besteding van de middelen binnen het programma en dient een geactualiseerd concreet programma voor het tweede jaar in. Na goedkeuring van de voortgangsrapportage en het geactualiseerde jaarprogramma wordt het voorschot voor het tweede jaar uitgekeerd</w:t>
      </w:r>
      <w:r w:rsidR="006A16CF" w:rsidRPr="00A9045D">
        <w:rPr>
          <w:rFonts w:asciiTheme="majorHAnsi" w:hAnsiTheme="majorHAnsi" w:cstheme="majorHAnsi"/>
          <w:sz w:val="20"/>
          <w:szCs w:val="20"/>
        </w:rPr>
        <w:t xml:space="preserve"> enz. In </w:t>
      </w:r>
      <w:r w:rsidRPr="00A9045D">
        <w:rPr>
          <w:rFonts w:asciiTheme="majorHAnsi" w:hAnsiTheme="majorHAnsi" w:cstheme="majorHAnsi"/>
          <w:sz w:val="20"/>
          <w:szCs w:val="20"/>
        </w:rPr>
        <w:t>totaal is 80% bevoorschotting</w:t>
      </w:r>
      <w:r w:rsidRPr="00B2332E">
        <w:rPr>
          <w:rFonts w:asciiTheme="majorHAnsi" w:hAnsiTheme="majorHAnsi" w:cstheme="majorHAnsi"/>
          <w:sz w:val="20"/>
          <w:szCs w:val="20"/>
        </w:rPr>
        <w:t xml:space="preserve"> mogelijk. Na afronding van het programma vindt de financiële verantwoording plaats en wordt de subsidie vastgesteld. </w:t>
      </w:r>
    </w:p>
    <w:p w14:paraId="015CAC13" w14:textId="5B42108B" w:rsidR="00A54A91" w:rsidRDefault="00A54A91" w:rsidP="00A54A91">
      <w:pPr>
        <w:pStyle w:val="Default"/>
        <w:rPr>
          <w:rFonts w:asciiTheme="majorHAnsi" w:hAnsiTheme="majorHAnsi" w:cstheme="majorHAnsi"/>
          <w:sz w:val="20"/>
          <w:szCs w:val="20"/>
        </w:rPr>
      </w:pPr>
    </w:p>
    <w:p w14:paraId="108194D1" w14:textId="73F14F2D" w:rsidR="00A54A91" w:rsidRDefault="00A54A91" w:rsidP="00A54A91">
      <w:pPr>
        <w:pStyle w:val="Default"/>
        <w:rPr>
          <w:rFonts w:asciiTheme="majorHAnsi" w:hAnsiTheme="majorHAnsi" w:cstheme="majorHAnsi"/>
          <w:sz w:val="20"/>
          <w:szCs w:val="20"/>
        </w:rPr>
      </w:pPr>
      <w:r>
        <w:rPr>
          <w:rFonts w:asciiTheme="majorHAnsi" w:hAnsiTheme="majorHAnsi" w:cstheme="majorHAnsi"/>
          <w:b/>
          <w:bCs/>
          <w:sz w:val="20"/>
          <w:szCs w:val="20"/>
        </w:rPr>
        <w:t>Tot slot</w:t>
      </w:r>
      <w:r>
        <w:rPr>
          <w:rFonts w:asciiTheme="majorHAnsi" w:hAnsiTheme="majorHAnsi" w:cstheme="majorHAnsi"/>
          <w:sz w:val="20"/>
          <w:szCs w:val="20"/>
        </w:rPr>
        <w:br/>
        <w:t xml:space="preserve">Deze uitvoeringsregeling draagt </w:t>
      </w:r>
      <w:r w:rsidR="003516A5">
        <w:rPr>
          <w:rFonts w:asciiTheme="majorHAnsi" w:hAnsiTheme="majorHAnsi" w:cstheme="majorHAnsi"/>
          <w:sz w:val="20"/>
          <w:szCs w:val="20"/>
        </w:rPr>
        <w:t xml:space="preserve">ook </w:t>
      </w:r>
      <w:r>
        <w:rPr>
          <w:rFonts w:asciiTheme="majorHAnsi" w:hAnsiTheme="majorHAnsi" w:cstheme="majorHAnsi"/>
          <w:sz w:val="20"/>
          <w:szCs w:val="20"/>
        </w:rPr>
        <w:t xml:space="preserve">bij aan de warmtetransitie en kan direct een positief effect hebben op huishoudens waar energiearmoede dreigt of zelfs al een feit is. De uitvoeringsregeling kan worden ingezet als cofinanciering van rijksmiddelen en/of gemeentelijke middelen, maar dient te allen tijde bij  te dragen aan de </w:t>
      </w:r>
      <w:r>
        <w:rPr>
          <w:rFonts w:asciiTheme="majorHAnsi" w:hAnsiTheme="majorHAnsi" w:cstheme="majorHAnsi"/>
          <w:sz w:val="20"/>
          <w:szCs w:val="20"/>
        </w:rPr>
        <w:lastRenderedPageBreak/>
        <w:t xml:space="preserve">doelstelling: het verduurzamen van particuliere woningen en woningen van verhuurders (t/m een bezit van 10 woningen). </w:t>
      </w:r>
    </w:p>
    <w:p w14:paraId="5DE442A6" w14:textId="40CC2F49" w:rsidR="00A54A91" w:rsidRDefault="00A54A91" w:rsidP="00A54A91">
      <w:pPr>
        <w:pStyle w:val="Default"/>
        <w:numPr>
          <w:ilvl w:val="0"/>
          <w:numId w:val="1"/>
        </w:numPr>
        <w:rPr>
          <w:rFonts w:asciiTheme="majorHAnsi" w:hAnsiTheme="majorHAnsi" w:cstheme="majorHAnsi"/>
          <w:sz w:val="20"/>
          <w:szCs w:val="20"/>
        </w:rPr>
      </w:pPr>
      <w:r>
        <w:rPr>
          <w:rFonts w:asciiTheme="majorHAnsi" w:hAnsiTheme="majorHAnsi" w:cstheme="majorHAnsi"/>
          <w:sz w:val="20"/>
          <w:szCs w:val="20"/>
        </w:rPr>
        <w:t>Let vooraf goed op de gevraagde monitoring en verantwoording en hou dit gedurende de jaren goed bij</w:t>
      </w:r>
      <w:r w:rsidR="002D1B00">
        <w:rPr>
          <w:rFonts w:asciiTheme="majorHAnsi" w:hAnsiTheme="majorHAnsi" w:cstheme="majorHAnsi"/>
          <w:sz w:val="20"/>
          <w:szCs w:val="20"/>
        </w:rPr>
        <w:t>.</w:t>
      </w:r>
    </w:p>
    <w:p w14:paraId="52622F28" w14:textId="743ECA79" w:rsidR="00A54A91" w:rsidRDefault="00A54A91" w:rsidP="00A54A91">
      <w:pPr>
        <w:pStyle w:val="Default"/>
        <w:numPr>
          <w:ilvl w:val="0"/>
          <w:numId w:val="1"/>
        </w:numPr>
        <w:rPr>
          <w:rFonts w:asciiTheme="majorHAnsi" w:hAnsiTheme="majorHAnsi" w:cstheme="majorHAnsi"/>
          <w:sz w:val="20"/>
          <w:szCs w:val="20"/>
        </w:rPr>
      </w:pPr>
      <w:r>
        <w:rPr>
          <w:rFonts w:asciiTheme="majorHAnsi" w:hAnsiTheme="majorHAnsi" w:cstheme="majorHAnsi"/>
          <w:sz w:val="20"/>
          <w:szCs w:val="20"/>
        </w:rPr>
        <w:t>Neem de gevraagde verantwoording goed op in de uitvraag/aanbesteding van activiteiten en check of dit ook daadwerkelijk wordt gedaan</w:t>
      </w:r>
      <w:r w:rsidR="002D1B00">
        <w:rPr>
          <w:rFonts w:asciiTheme="majorHAnsi" w:hAnsiTheme="majorHAnsi" w:cstheme="majorHAnsi"/>
          <w:sz w:val="20"/>
          <w:szCs w:val="20"/>
        </w:rPr>
        <w:t>.</w:t>
      </w:r>
    </w:p>
    <w:p w14:paraId="0030C0F5" w14:textId="27EA84B0" w:rsidR="00A54A91" w:rsidRDefault="00A54A91" w:rsidP="00A54A91">
      <w:pPr>
        <w:pStyle w:val="Default"/>
        <w:numPr>
          <w:ilvl w:val="0"/>
          <w:numId w:val="1"/>
        </w:numPr>
        <w:rPr>
          <w:rFonts w:asciiTheme="majorHAnsi" w:hAnsiTheme="majorHAnsi" w:cstheme="majorHAnsi"/>
          <w:sz w:val="20"/>
          <w:szCs w:val="20"/>
        </w:rPr>
      </w:pPr>
      <w:r>
        <w:rPr>
          <w:rFonts w:asciiTheme="majorHAnsi" w:hAnsiTheme="majorHAnsi" w:cstheme="majorHAnsi"/>
          <w:sz w:val="20"/>
          <w:szCs w:val="20"/>
        </w:rPr>
        <w:t>Je bent als gemeente altijd zelf verantwoordelijk voor de verantwoording van de subsidie en de activiteiten</w:t>
      </w:r>
      <w:r w:rsidR="002D1B00">
        <w:rPr>
          <w:rFonts w:asciiTheme="majorHAnsi" w:hAnsiTheme="majorHAnsi" w:cstheme="majorHAnsi"/>
          <w:sz w:val="20"/>
          <w:szCs w:val="20"/>
        </w:rPr>
        <w:t>.</w:t>
      </w:r>
    </w:p>
    <w:p w14:paraId="2B9E8E8E" w14:textId="7150B8BD" w:rsidR="00A54A91" w:rsidRDefault="002D1B00" w:rsidP="00A54A91">
      <w:pPr>
        <w:pStyle w:val="Default"/>
        <w:numPr>
          <w:ilvl w:val="0"/>
          <w:numId w:val="1"/>
        </w:numPr>
        <w:rPr>
          <w:rFonts w:asciiTheme="majorHAnsi" w:hAnsiTheme="majorHAnsi" w:cstheme="majorHAnsi"/>
          <w:sz w:val="20"/>
          <w:szCs w:val="20"/>
        </w:rPr>
      </w:pPr>
      <w:r>
        <w:rPr>
          <w:rFonts w:asciiTheme="majorHAnsi" w:hAnsiTheme="majorHAnsi" w:cstheme="majorHAnsi"/>
          <w:sz w:val="20"/>
          <w:szCs w:val="20"/>
        </w:rPr>
        <w:t>Blijf samenwerken en kennis delen, al dan niet via het Servicepunt Duurzame Energie!</w:t>
      </w:r>
    </w:p>
    <w:p w14:paraId="1E208045" w14:textId="07EEDAE8" w:rsidR="002D1B00" w:rsidRPr="00A54A91" w:rsidRDefault="002D1B00" w:rsidP="002D1B00">
      <w:pPr>
        <w:pStyle w:val="Default"/>
        <w:ind w:left="360"/>
        <w:rPr>
          <w:rFonts w:asciiTheme="majorHAnsi" w:hAnsiTheme="majorHAnsi" w:cstheme="majorHAnsi"/>
          <w:sz w:val="20"/>
          <w:szCs w:val="20"/>
        </w:rPr>
      </w:pPr>
    </w:p>
    <w:sectPr w:rsidR="002D1B00" w:rsidRPr="00A54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E0BAD"/>
    <w:multiLevelType w:val="hybridMultilevel"/>
    <w:tmpl w:val="2E605F1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5048189B"/>
    <w:multiLevelType w:val="hybridMultilevel"/>
    <w:tmpl w:val="082258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D063A2"/>
    <w:multiLevelType w:val="hybridMultilevel"/>
    <w:tmpl w:val="76644CDC"/>
    <w:lvl w:ilvl="0" w:tplc="AADC4200">
      <w:start w:val="163"/>
      <w:numFmt w:val="bullet"/>
      <w:lvlText w:val=""/>
      <w:lvlJc w:val="left"/>
      <w:pPr>
        <w:ind w:left="720" w:hanging="360"/>
      </w:pPr>
      <w:rPr>
        <w:rFonts w:ascii="Symbol" w:eastAsiaTheme="minorHAnsi" w:hAnsi="Symbol"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67109A"/>
    <w:multiLevelType w:val="hybridMultilevel"/>
    <w:tmpl w:val="29ACFD8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919173564">
    <w:abstractNumId w:val="2"/>
  </w:num>
  <w:num w:numId="2" w16cid:durableId="489444402">
    <w:abstractNumId w:val="3"/>
  </w:num>
  <w:num w:numId="3" w16cid:durableId="924652636">
    <w:abstractNumId w:val="0"/>
  </w:num>
  <w:num w:numId="4" w16cid:durableId="692808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enforcement="1" w:cryptProviderType="rsaAES" w:cryptAlgorithmClass="hash" w:cryptAlgorithmType="typeAny" w:cryptAlgorithmSid="14" w:cryptSpinCount="100000" w:hash="Z68w0By64pi8yEJi8wkKhFmxtwVr8ZaWLx44rs5p3DnuifyYZi83sO3YLdbz8TgaJFFJhe1NCgvKSt/1RRUwyQ==" w:salt="Dqr0XqLIWfkHfb1q+K2n5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DA"/>
    <w:rsid w:val="000231E7"/>
    <w:rsid w:val="000801D8"/>
    <w:rsid w:val="000B29AB"/>
    <w:rsid w:val="000F3551"/>
    <w:rsid w:val="00120FBF"/>
    <w:rsid w:val="00147491"/>
    <w:rsid w:val="001871DA"/>
    <w:rsid w:val="00192356"/>
    <w:rsid w:val="001C0E3C"/>
    <w:rsid w:val="001D3960"/>
    <w:rsid w:val="001F1E79"/>
    <w:rsid w:val="00230186"/>
    <w:rsid w:val="00291C79"/>
    <w:rsid w:val="002D1B00"/>
    <w:rsid w:val="002F6DA5"/>
    <w:rsid w:val="00345D71"/>
    <w:rsid w:val="003516A5"/>
    <w:rsid w:val="00362A83"/>
    <w:rsid w:val="0036793F"/>
    <w:rsid w:val="003D13C5"/>
    <w:rsid w:val="003F17CF"/>
    <w:rsid w:val="003F27C8"/>
    <w:rsid w:val="003F2899"/>
    <w:rsid w:val="00411EB1"/>
    <w:rsid w:val="00455E88"/>
    <w:rsid w:val="005220F6"/>
    <w:rsid w:val="00527F9A"/>
    <w:rsid w:val="0053057C"/>
    <w:rsid w:val="00571C49"/>
    <w:rsid w:val="005A0753"/>
    <w:rsid w:val="00622A2B"/>
    <w:rsid w:val="00675E2E"/>
    <w:rsid w:val="006A16CF"/>
    <w:rsid w:val="006D0773"/>
    <w:rsid w:val="006E17E3"/>
    <w:rsid w:val="007E7C2F"/>
    <w:rsid w:val="00805B6C"/>
    <w:rsid w:val="00844EA0"/>
    <w:rsid w:val="0085007C"/>
    <w:rsid w:val="00916508"/>
    <w:rsid w:val="00947213"/>
    <w:rsid w:val="009701B2"/>
    <w:rsid w:val="009A40E3"/>
    <w:rsid w:val="00A54A91"/>
    <w:rsid w:val="00A9045D"/>
    <w:rsid w:val="00AB70D5"/>
    <w:rsid w:val="00B2332E"/>
    <w:rsid w:val="00B852D8"/>
    <w:rsid w:val="00B90AE4"/>
    <w:rsid w:val="00BD29A5"/>
    <w:rsid w:val="00C02677"/>
    <w:rsid w:val="00C26A62"/>
    <w:rsid w:val="00C2751A"/>
    <w:rsid w:val="00C33F9E"/>
    <w:rsid w:val="00C77C85"/>
    <w:rsid w:val="00D46F9F"/>
    <w:rsid w:val="00DD2E7C"/>
    <w:rsid w:val="00E75FE2"/>
    <w:rsid w:val="00EB0DD9"/>
    <w:rsid w:val="00EC559A"/>
    <w:rsid w:val="00EF0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FD82"/>
  <w15:chartTrackingRefBased/>
  <w15:docId w15:val="{3C40237F-9D7C-470D-97F3-E85B92CE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D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B0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B0DD9"/>
    <w:pPr>
      <w:autoSpaceDE w:val="0"/>
      <w:autoSpaceDN w:val="0"/>
      <w:adjustRightInd w:val="0"/>
      <w:spacing w:after="0" w:line="240" w:lineRule="auto"/>
    </w:pPr>
    <w:rPr>
      <w:rFonts w:ascii="Lucida Sans" w:hAnsi="Lucida Sans" w:cs="Lucida Sans"/>
      <w:color w:val="000000"/>
      <w:sz w:val="24"/>
      <w:szCs w:val="24"/>
    </w:rPr>
  </w:style>
  <w:style w:type="character" w:customStyle="1" w:styleId="Kop1Char">
    <w:name w:val="Kop 1 Char"/>
    <w:basedOn w:val="Standaardalinea-lettertype"/>
    <w:link w:val="Kop1"/>
    <w:uiPriority w:val="9"/>
    <w:rsid w:val="00EB0DD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B0DD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0231E7"/>
    <w:pPr>
      <w:spacing w:after="200" w:line="276" w:lineRule="auto"/>
      <w:ind w:left="720"/>
      <w:contextualSpacing/>
    </w:pPr>
  </w:style>
  <w:style w:type="character" w:styleId="Hyperlink">
    <w:name w:val="Hyperlink"/>
    <w:basedOn w:val="Standaardalinea-lettertype"/>
    <w:uiPriority w:val="99"/>
    <w:unhideWhenUsed/>
    <w:rsid w:val="000231E7"/>
    <w:rPr>
      <w:color w:val="0563C1" w:themeColor="hyperlink"/>
      <w:u w:val="single"/>
    </w:rPr>
  </w:style>
  <w:style w:type="character" w:styleId="Onopgelostemelding">
    <w:name w:val="Unresolved Mention"/>
    <w:basedOn w:val="Standaardalinea-lettertype"/>
    <w:uiPriority w:val="99"/>
    <w:semiHidden/>
    <w:unhideWhenUsed/>
    <w:rsid w:val="000231E7"/>
    <w:rPr>
      <w:color w:val="605E5C"/>
      <w:shd w:val="clear" w:color="auto" w:fill="E1DFDD"/>
    </w:rPr>
  </w:style>
  <w:style w:type="character" w:styleId="Verwijzingopmerking">
    <w:name w:val="annotation reference"/>
    <w:basedOn w:val="Standaardalinea-lettertype"/>
    <w:uiPriority w:val="99"/>
    <w:semiHidden/>
    <w:unhideWhenUsed/>
    <w:rsid w:val="00C26A62"/>
    <w:rPr>
      <w:sz w:val="16"/>
      <w:szCs w:val="16"/>
    </w:rPr>
  </w:style>
  <w:style w:type="paragraph" w:styleId="Tekstopmerking">
    <w:name w:val="annotation text"/>
    <w:basedOn w:val="Standaard"/>
    <w:link w:val="TekstopmerkingChar"/>
    <w:uiPriority w:val="99"/>
    <w:semiHidden/>
    <w:unhideWhenUsed/>
    <w:rsid w:val="00C26A6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26A62"/>
    <w:rPr>
      <w:sz w:val="20"/>
      <w:szCs w:val="20"/>
    </w:rPr>
  </w:style>
  <w:style w:type="paragraph" w:styleId="Onderwerpvanopmerking">
    <w:name w:val="annotation subject"/>
    <w:basedOn w:val="Tekstopmerking"/>
    <w:next w:val="Tekstopmerking"/>
    <w:link w:val="OnderwerpvanopmerkingChar"/>
    <w:uiPriority w:val="99"/>
    <w:semiHidden/>
    <w:unhideWhenUsed/>
    <w:rsid w:val="00C26A62"/>
    <w:rPr>
      <w:b/>
      <w:bCs/>
    </w:rPr>
  </w:style>
  <w:style w:type="character" w:customStyle="1" w:styleId="OnderwerpvanopmerkingChar">
    <w:name w:val="Onderwerp van opmerking Char"/>
    <w:basedOn w:val="TekstopmerkingChar"/>
    <w:link w:val="Onderwerpvanopmerking"/>
    <w:uiPriority w:val="99"/>
    <w:semiHidden/>
    <w:rsid w:val="00C26A62"/>
    <w:rPr>
      <w:b/>
      <w:bCs/>
      <w:sz w:val="20"/>
      <w:szCs w:val="20"/>
    </w:rPr>
  </w:style>
  <w:style w:type="character" w:styleId="GevolgdeHyperlink">
    <w:name w:val="FollowedHyperlink"/>
    <w:basedOn w:val="Standaardalinea-lettertype"/>
    <w:uiPriority w:val="99"/>
    <w:semiHidden/>
    <w:unhideWhenUsed/>
    <w:rsid w:val="003F17CF"/>
    <w:rPr>
      <w:color w:val="954F72" w:themeColor="followedHyperlink"/>
      <w:u w:val="single"/>
    </w:rPr>
  </w:style>
  <w:style w:type="paragraph" w:styleId="Revisie">
    <w:name w:val="Revision"/>
    <w:hidden/>
    <w:uiPriority w:val="99"/>
    <w:semiHidden/>
    <w:rsid w:val="00C026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puntduurzameenergie.nl/wp-content/uploads/2022/12/Menukaart-activiteiten-en-aanpakken-29-nov-2-1-2.pdf" TargetMode="External"/><Relationship Id="rId5" Type="http://schemas.openxmlformats.org/officeDocument/2006/relationships/hyperlink" Target="https://vng.nl/sites/default/files/2021-02/handreiking-kwaliteit-energieloketten.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1466</Words>
  <Characters>8064</Characters>
  <Application>Microsoft Office Word</Application>
  <DocSecurity>8</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Brugman</dc:creator>
  <cp:keywords/>
  <dc:description/>
  <cp:lastModifiedBy>Leonike Wilgenkamp</cp:lastModifiedBy>
  <cp:revision>2</cp:revision>
  <dcterms:created xsi:type="dcterms:W3CDTF">2023-01-26T13:28:00Z</dcterms:created>
  <dcterms:modified xsi:type="dcterms:W3CDTF">2023-01-26T13:28:00Z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2022-12-16T09:09:09Z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f5374f1c-1320-4c57-a35e-f351280ce76b</vt:lpwstr>
  </property>
  <property fmtid="{D5CDD505-2E9C-101B-9397-08002B2CF9AE}" pid="8" name="MSIP_Label_5b4b5705-b4ff-46b5-8261-fc5f5f46f4b9_ContentBits">
    <vt:lpwstr>0</vt:lpwstr>
  </property>
</Properties>
</file>